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4C" w:rsidRPr="00240734" w:rsidRDefault="00AC25B9" w:rsidP="00DC253F">
      <w:pPr>
        <w:adjustRightInd w:val="0"/>
        <w:snapToGrid w:val="0"/>
        <w:spacing w:afterLines="50" w:after="156" w:line="500" w:lineRule="exact"/>
        <w:rPr>
          <w:rFonts w:eastAsia="方正小标宋简体"/>
          <w:sz w:val="28"/>
          <w:szCs w:val="28"/>
        </w:rPr>
      </w:pPr>
      <w:r w:rsidRPr="00240734">
        <w:rPr>
          <w:rFonts w:ascii="黑体" w:eastAsia="黑体" w:hAnsi="黑体" w:hint="eastAsia"/>
          <w:b/>
          <w:sz w:val="28"/>
          <w:szCs w:val="28"/>
        </w:rPr>
        <w:t>附件1</w:t>
      </w:r>
    </w:p>
    <w:p w:rsidR="00F62C4C" w:rsidRPr="00240734" w:rsidRDefault="00AC25B9" w:rsidP="00DC253F">
      <w:pPr>
        <w:adjustRightInd w:val="0"/>
        <w:snapToGrid w:val="0"/>
        <w:spacing w:afterLines="50" w:after="156" w:line="500" w:lineRule="exact"/>
        <w:jc w:val="center"/>
        <w:rPr>
          <w:rFonts w:eastAsia="方正小标宋简体"/>
          <w:sz w:val="44"/>
          <w:szCs w:val="44"/>
        </w:rPr>
      </w:pPr>
      <w:bookmarkStart w:id="0" w:name="_GoBack"/>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trPr>
          <w:trHeight w:val="643"/>
          <w:tblHeader/>
          <w:jc w:val="center"/>
        </w:trPr>
        <w:tc>
          <w:tcPr>
            <w:tcW w:w="848" w:type="dxa"/>
            <w:tcMar>
              <w:left w:w="45" w:type="dxa"/>
              <w:right w:w="45" w:type="dxa"/>
            </w:tcMar>
            <w:vAlign w:val="center"/>
          </w:tcPr>
          <w:bookmarkEnd w:id="0"/>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w:t>
            </w:r>
            <w:r>
              <w:rPr>
                <w:kern w:val="0"/>
                <w:szCs w:val="21"/>
              </w:rPr>
              <w:lastRenderedPageBreak/>
              <w:t>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lastRenderedPageBreak/>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w:t>
            </w:r>
            <w:r>
              <w:rPr>
                <w:kern w:val="0"/>
                <w:szCs w:val="21"/>
              </w:rPr>
              <w:lastRenderedPageBreak/>
              <w:t>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6"/>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w:t>
            </w:r>
            <w:r>
              <w:rPr>
                <w:rFonts w:hint="eastAsia"/>
                <w:kern w:val="0"/>
                <w:szCs w:val="21"/>
              </w:rPr>
              <w:lastRenderedPageBreak/>
              <w:t>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lastRenderedPageBreak/>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w:t>
            </w:r>
            <w:r>
              <w:rPr>
                <w:szCs w:val="21"/>
              </w:rPr>
              <w:lastRenderedPageBreak/>
              <w:t>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lastRenderedPageBreak/>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lastRenderedPageBreak/>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lastRenderedPageBreak/>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通风柜配置合理、使用正常、操作合规</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lastRenderedPageBreak/>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lastRenderedPageBreak/>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r>
              <w:rPr>
                <w:kern w:val="0"/>
                <w:szCs w:val="21"/>
              </w:rPr>
              <w:lastRenderedPageBreak/>
              <w:t>钢瓶台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lastRenderedPageBreak/>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委托有危险废物处置资质的专业厂家集中处置化学废弃物；校外转运之前，贮存站必须妥善管理实验室危险废物，采取有效措施，防止废物的扩散、流失、渗漏</w:t>
            </w:r>
            <w:r>
              <w:rPr>
                <w:rFonts w:ascii="宋体" w:cs="宋体" w:hint="eastAsia"/>
                <w:kern w:val="0"/>
                <w:szCs w:val="21"/>
              </w:rPr>
              <w:lastRenderedPageBreak/>
              <w:t>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米；贮存站</w:t>
            </w:r>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4"/>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w:t>
            </w:r>
            <w:r>
              <w:rPr>
                <w:kern w:val="0"/>
                <w:szCs w:val="21"/>
              </w:rPr>
              <w:lastRenderedPageBreak/>
              <w:t>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3" w:name="_Hlk67118907"/>
            <w:r>
              <w:rPr>
                <w:rFonts w:hint="eastAsia"/>
                <w:kern w:val="0"/>
                <w:szCs w:val="21"/>
              </w:rPr>
              <w:t>相关实验室应当配置专门的放射性废物收集桶；放射性废液送贮前应进行固化整备；放射性废物应及时送交城市放废库收贮</w:t>
            </w:r>
            <w:bookmarkEnd w:id="3"/>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w:t>
            </w:r>
            <w:r>
              <w:rPr>
                <w:rFonts w:hint="eastAsia"/>
                <w:kern w:val="0"/>
                <w:szCs w:val="21"/>
              </w:rPr>
              <w:lastRenderedPageBreak/>
              <w:t>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lastRenderedPageBreak/>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r>
              <w:rPr>
                <w:rFonts w:hint="eastAsia"/>
                <w:kern w:val="0"/>
                <w:szCs w:val="21"/>
              </w:rPr>
              <w:t>兆帕且</w:t>
            </w:r>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快开门式压力容器操作人员、</w:t>
            </w:r>
            <w:r>
              <w:rPr>
                <w:rFonts w:ascii="宋体" w:hAnsi="宋体"/>
                <w:kern w:val="0"/>
              </w:rPr>
              <w:t>移动式压力容器充装</w:t>
            </w:r>
            <w:r>
              <w:rPr>
                <w:rFonts w:ascii="宋体" w:hAnsi="宋体" w:hint="eastAsia"/>
                <w:kern w:val="0"/>
              </w:rPr>
              <w:t>人员</w:t>
            </w:r>
            <w:r>
              <w:rPr>
                <w:rFonts w:ascii="宋体" w:hAnsi="宋体"/>
                <w:kern w:val="0"/>
              </w:rPr>
              <w:t>、氧舱维护保养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004423">
      <w:pPr>
        <w:adjustRightInd w:val="0"/>
        <w:snapToGrid w:val="0"/>
        <w:spacing w:beforeLines="50" w:before="156"/>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EA2" w:rsidRDefault="00674EA2" w:rsidP="00F62C4C">
      <w:r>
        <w:separator/>
      </w:r>
    </w:p>
  </w:endnote>
  <w:endnote w:type="continuationSeparator" w:id="0">
    <w:p w:rsidR="00674EA2" w:rsidRDefault="00674EA2"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variable"/>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839" w:rsidRDefault="00197839">
    <w:pPr>
      <w:pStyle w:val="af2"/>
      <w:jc w:val="center"/>
    </w:pPr>
    <w:r>
      <w:fldChar w:fldCharType="begin"/>
    </w:r>
    <w:r>
      <w:instrText>PAGE   \* MERGEFORMAT</w:instrText>
    </w:r>
    <w:r>
      <w:fldChar w:fldCharType="separate"/>
    </w:r>
    <w:r w:rsidR="00BD6FB3" w:rsidRPr="00BD6FB3">
      <w:rPr>
        <w:noProof/>
        <w:lang w:val="zh-CN"/>
      </w:rPr>
      <w:t>2</w:t>
    </w:r>
    <w:r>
      <w:fldChar w:fldCharType="end"/>
    </w:r>
  </w:p>
  <w:p w:rsidR="00197839" w:rsidRDefault="00197839">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EA2" w:rsidRDefault="00674EA2" w:rsidP="00F62C4C">
      <w:r>
        <w:separator/>
      </w:r>
    </w:p>
  </w:footnote>
  <w:footnote w:type="continuationSeparator" w:id="0">
    <w:p w:rsidR="00674EA2" w:rsidRDefault="00674EA2"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B5F"/>
    <w:rsid w:val="000034C6"/>
    <w:rsid w:val="000038DB"/>
    <w:rsid w:val="00004423"/>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839"/>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4858"/>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74EA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D6FB3"/>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253F"/>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28F3006-8ACF-4230-A16E-43BC7141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0"/>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a5"/>
    <w:semiHidden/>
    <w:qFormat/>
    <w:rsid w:val="00F62C4C"/>
    <w:rPr>
      <w:rFonts w:ascii="宋体"/>
      <w:kern w:val="0"/>
      <w:sz w:val="18"/>
      <w:szCs w:val="18"/>
    </w:rPr>
  </w:style>
  <w:style w:type="paragraph" w:styleId="a6">
    <w:name w:val="annotation text"/>
    <w:basedOn w:val="a"/>
    <w:link w:val="a7"/>
    <w:qFormat/>
    <w:rsid w:val="00F62C4C"/>
    <w:pPr>
      <w:spacing w:line="460" w:lineRule="exact"/>
      <w:jc w:val="left"/>
    </w:pPr>
    <w:rPr>
      <w:rFonts w:ascii="Calibri" w:hAnsi="Calibri"/>
      <w:szCs w:val="21"/>
    </w:rPr>
  </w:style>
  <w:style w:type="paragraph" w:styleId="a8">
    <w:name w:val="Body Text"/>
    <w:basedOn w:val="a"/>
    <w:link w:val="a9"/>
    <w:qFormat/>
    <w:rsid w:val="00F62C4C"/>
    <w:pPr>
      <w:spacing w:line="380" w:lineRule="exact"/>
    </w:pPr>
    <w:rPr>
      <w:rFonts w:eastAsia="仿宋_GB2312"/>
      <w:sz w:val="28"/>
      <w:szCs w:val="20"/>
    </w:rPr>
  </w:style>
  <w:style w:type="paragraph" w:styleId="aa">
    <w:name w:val="Body Text Indent"/>
    <w:basedOn w:val="a"/>
    <w:link w:val="ab"/>
    <w:qFormat/>
    <w:rsid w:val="00F62C4C"/>
    <w:pPr>
      <w:spacing w:line="460" w:lineRule="exact"/>
      <w:ind w:firstLine="630"/>
    </w:pPr>
    <w:rPr>
      <w:rFonts w:ascii="仿宋_GB2312" w:eastAsia="仿宋_GB2312"/>
      <w:sz w:val="32"/>
      <w:szCs w:val="20"/>
    </w:rPr>
  </w:style>
  <w:style w:type="paragraph" w:styleId="ac">
    <w:name w:val="Plain Text"/>
    <w:basedOn w:val="a"/>
    <w:link w:val="ad"/>
    <w:qFormat/>
    <w:rsid w:val="00F62C4C"/>
    <w:pPr>
      <w:spacing w:line="460" w:lineRule="exact"/>
    </w:pPr>
    <w:rPr>
      <w:rFonts w:ascii="宋体" w:hAnsi="Courier New"/>
      <w:szCs w:val="20"/>
    </w:rPr>
  </w:style>
  <w:style w:type="paragraph" w:styleId="ae">
    <w:name w:val="Date"/>
    <w:basedOn w:val="a"/>
    <w:next w:val="a"/>
    <w:link w:val="af"/>
    <w:qFormat/>
    <w:rsid w:val="00F62C4C"/>
    <w:pPr>
      <w:ind w:leftChars="2500" w:left="100"/>
    </w:pPr>
    <w:rPr>
      <w:kern w:val="0"/>
      <w:sz w:val="24"/>
    </w:rPr>
  </w:style>
  <w:style w:type="paragraph" w:styleId="21">
    <w:name w:val="Body Text Indent 2"/>
    <w:basedOn w:val="a"/>
    <w:link w:val="22"/>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F62C4C"/>
    <w:rPr>
      <w:kern w:val="0"/>
      <w:sz w:val="18"/>
      <w:szCs w:val="18"/>
    </w:rPr>
  </w:style>
  <w:style w:type="paragraph" w:styleId="af2">
    <w:name w:val="footer"/>
    <w:basedOn w:val="a"/>
    <w:link w:val="af3"/>
    <w:uiPriority w:val="99"/>
    <w:qFormat/>
    <w:rsid w:val="00F62C4C"/>
    <w:pPr>
      <w:tabs>
        <w:tab w:val="center" w:pos="4153"/>
        <w:tab w:val="right" w:pos="8306"/>
      </w:tabs>
      <w:snapToGrid w:val="0"/>
      <w:jc w:val="left"/>
    </w:pPr>
    <w:rPr>
      <w:kern w:val="0"/>
      <w:sz w:val="18"/>
      <w:szCs w:val="18"/>
    </w:rPr>
  </w:style>
  <w:style w:type="paragraph" w:styleId="af4">
    <w:name w:val="header"/>
    <w:basedOn w:val="a"/>
    <w:link w:val="af5"/>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F62C4C"/>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sid w:val="00F62C4C"/>
    <w:rPr>
      <w:b/>
      <w:bCs/>
    </w:rPr>
  </w:style>
  <w:style w:type="table" w:styleId="af9">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sid w:val="00F62C4C"/>
    <w:rPr>
      <w:b/>
      <w:bCs/>
    </w:rPr>
  </w:style>
  <w:style w:type="character" w:styleId="afb">
    <w:name w:val="page number"/>
    <w:qFormat/>
    <w:rsid w:val="00F62C4C"/>
    <w:rPr>
      <w:rFonts w:cs="Times New Roman"/>
    </w:rPr>
  </w:style>
  <w:style w:type="character" w:styleId="afc">
    <w:name w:val="FollowedHyperlink"/>
    <w:qFormat/>
    <w:rsid w:val="00F62C4C"/>
    <w:rPr>
      <w:rFonts w:cs="Times New Roman"/>
      <w:color w:val="800080"/>
      <w:u w:val="single"/>
    </w:rPr>
  </w:style>
  <w:style w:type="character" w:styleId="afd">
    <w:name w:val="Hyperlink"/>
    <w:qFormat/>
    <w:rsid w:val="00F62C4C"/>
    <w:rPr>
      <w:rFonts w:cs="Times New Roman"/>
      <w:color w:val="1B227E"/>
      <w:u w:val="none"/>
    </w:rPr>
  </w:style>
  <w:style w:type="character" w:styleId="afe">
    <w:name w:val="annotation reference"/>
    <w:semiHidden/>
    <w:qFormat/>
    <w:rsid w:val="00F62C4C"/>
    <w:rPr>
      <w:rFonts w:cs="Times New Roman"/>
      <w:sz w:val="21"/>
      <w:szCs w:val="21"/>
    </w:rPr>
  </w:style>
  <w:style w:type="character" w:styleId="aff">
    <w:name w:val="footnote reference"/>
    <w:semiHidden/>
    <w:qFormat/>
    <w:rsid w:val="00F62C4C"/>
    <w:rPr>
      <w:rFonts w:cs="Times New Roman"/>
      <w:vertAlign w:val="superscript"/>
    </w:rPr>
  </w:style>
  <w:style w:type="paragraph" w:customStyle="1" w:styleId="aff0">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F62C4C"/>
    <w:rPr>
      <w:kern w:val="2"/>
      <w:sz w:val="21"/>
      <w:szCs w:val="24"/>
    </w:rPr>
  </w:style>
  <w:style w:type="paragraph" w:customStyle="1" w:styleId="aff1">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F62C4C"/>
    <w:pPr>
      <w:ind w:firstLineChars="200" w:firstLine="420"/>
    </w:pPr>
  </w:style>
  <w:style w:type="paragraph" w:customStyle="1" w:styleId="aff2">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sid w:val="00F62C4C"/>
    <w:rPr>
      <w:rFonts w:cs="Times New Roman"/>
      <w:b/>
      <w:bCs/>
      <w:kern w:val="44"/>
      <w:sz w:val="44"/>
      <w:szCs w:val="44"/>
    </w:rPr>
  </w:style>
  <w:style w:type="character" w:customStyle="1" w:styleId="ab">
    <w:name w:val="正文文本缩进 字符"/>
    <w:link w:val="aa"/>
    <w:qFormat/>
    <w:locked/>
    <w:rsid w:val="00F62C4C"/>
    <w:rPr>
      <w:rFonts w:ascii="仿宋_GB2312" w:eastAsia="仿宋_GB2312" w:cs="Times New Roman"/>
      <w:kern w:val="2"/>
      <w:sz w:val="32"/>
    </w:rPr>
  </w:style>
  <w:style w:type="character" w:customStyle="1" w:styleId="20">
    <w:name w:val="标题 2 字符"/>
    <w:link w:val="2"/>
    <w:qFormat/>
    <w:locked/>
    <w:rsid w:val="00F62C4C"/>
    <w:rPr>
      <w:rFonts w:ascii="宋体" w:eastAsia="宋体" w:cs="Times New Roman"/>
      <w:b/>
      <w:bCs/>
      <w:sz w:val="36"/>
      <w:szCs w:val="36"/>
    </w:rPr>
  </w:style>
  <w:style w:type="character" w:customStyle="1" w:styleId="30">
    <w:name w:val="正文文本缩进 3 字符"/>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2">
    <w:name w:val="正文文本缩进 2 字符"/>
    <w:link w:val="21"/>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ad">
    <w:name w:val="纯文本 字符"/>
    <w:link w:val="ac"/>
    <w:qFormat/>
    <w:locked/>
    <w:rsid w:val="00F62C4C"/>
    <w:rPr>
      <w:rFonts w:ascii="宋体" w:hAnsi="Courier New" w:cs="Times New Roman"/>
      <w:kern w:val="2"/>
      <w:sz w:val="21"/>
    </w:rPr>
  </w:style>
  <w:style w:type="character" w:customStyle="1" w:styleId="a7">
    <w:name w:val="批注文字 字符"/>
    <w:link w:val="a6"/>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af5">
    <w:name w:val="页眉 字符"/>
    <w:link w:val="af4"/>
    <w:qFormat/>
    <w:locked/>
    <w:rsid w:val="00F62C4C"/>
    <w:rPr>
      <w:rFonts w:cs="Times New Roman"/>
      <w:sz w:val="18"/>
      <w:szCs w:val="18"/>
    </w:rPr>
  </w:style>
  <w:style w:type="character" w:customStyle="1" w:styleId="af">
    <w:name w:val="日期 字符"/>
    <w:link w:val="ae"/>
    <w:qFormat/>
    <w:locked/>
    <w:rsid w:val="00F62C4C"/>
    <w:rPr>
      <w:rFonts w:cs="Times New Roman"/>
      <w:sz w:val="24"/>
      <w:szCs w:val="24"/>
    </w:rPr>
  </w:style>
  <w:style w:type="character" w:customStyle="1" w:styleId="a9">
    <w:name w:val="正文文本 字符"/>
    <w:link w:val="a8"/>
    <w:qFormat/>
    <w:locked/>
    <w:rsid w:val="00F62C4C"/>
    <w:rPr>
      <w:rFonts w:eastAsia="仿宋_GB2312" w:cs="Times New Roman"/>
      <w:kern w:val="2"/>
      <w:sz w:val="28"/>
    </w:rPr>
  </w:style>
  <w:style w:type="character" w:customStyle="1" w:styleId="af3">
    <w:name w:val="页脚 字符"/>
    <w:link w:val="af2"/>
    <w:uiPriority w:val="99"/>
    <w:qFormat/>
    <w:locked/>
    <w:rsid w:val="00F62C4C"/>
    <w:rPr>
      <w:rFonts w:cs="Times New Roman"/>
      <w:sz w:val="18"/>
      <w:szCs w:val="18"/>
    </w:rPr>
  </w:style>
  <w:style w:type="character" w:customStyle="1" w:styleId="a5">
    <w:name w:val="文档结构图 字符"/>
    <w:link w:val="a4"/>
    <w:qFormat/>
    <w:locked/>
    <w:rsid w:val="00F62C4C"/>
    <w:rPr>
      <w:rFonts w:ascii="宋体" w:cs="Times New Roman"/>
      <w:sz w:val="18"/>
      <w:szCs w:val="18"/>
    </w:rPr>
  </w:style>
  <w:style w:type="character" w:customStyle="1" w:styleId="af8">
    <w:name w:val="批注主题 字符"/>
    <w:link w:val="af7"/>
    <w:semiHidden/>
    <w:qFormat/>
    <w:locked/>
    <w:rsid w:val="00F62C4C"/>
    <w:rPr>
      <w:rFonts w:ascii="Calibri" w:hAnsi="Calibri" w:cs="Calibri"/>
      <w:b/>
      <w:bCs/>
      <w:kern w:val="2"/>
      <w:sz w:val="21"/>
      <w:szCs w:val="21"/>
    </w:rPr>
  </w:style>
  <w:style w:type="character" w:customStyle="1" w:styleId="af1">
    <w:name w:val="批注框文本 字符"/>
    <w:link w:val="af0"/>
    <w:qFormat/>
    <w:locked/>
    <w:rsid w:val="00F62C4C"/>
    <w:rPr>
      <w:rFonts w:cs="Times New Roman"/>
      <w:sz w:val="18"/>
      <w:szCs w:val="18"/>
    </w:rPr>
  </w:style>
  <w:style w:type="paragraph" w:customStyle="1" w:styleId="13">
    <w:name w:val="正文1"/>
    <w:qFormat/>
    <w:rsid w:val="00F62C4C"/>
    <w:pPr>
      <w:jc w:val="both"/>
    </w:pPr>
    <w:rPr>
      <w:kern w:val="2"/>
      <w:sz w:val="21"/>
      <w:szCs w:val="21"/>
    </w:rPr>
  </w:style>
  <w:style w:type="paragraph" w:customStyle="1" w:styleId="24">
    <w:name w:val="列出段落2"/>
    <w:basedOn w:val="a"/>
    <w:qFormat/>
    <w:rsid w:val="00F62C4C"/>
    <w:pPr>
      <w:ind w:firstLineChars="200" w:firstLine="420"/>
    </w:pPr>
    <w:rPr>
      <w:rFonts w:ascii="等线" w:eastAsia="等线" w:hAnsi="等线"/>
      <w:szCs w:val="21"/>
    </w:rPr>
  </w:style>
  <w:style w:type="paragraph" w:styleId="aff4">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叶剑新</cp:lastModifiedBy>
  <cp:revision>3</cp:revision>
  <cp:lastPrinted>2021-03-31T01:59:00Z</cp:lastPrinted>
  <dcterms:created xsi:type="dcterms:W3CDTF">2021-04-21T00:48:00Z</dcterms:created>
  <dcterms:modified xsi:type="dcterms:W3CDTF">2021-05-11T08:12:00Z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